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附件10</w:t>
      </w:r>
    </w:p>
    <w:p>
      <w:pP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136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90"/>
        <w:gridCol w:w="1470"/>
        <w:gridCol w:w="1200"/>
        <w:gridCol w:w="728"/>
        <w:gridCol w:w="1050"/>
        <w:gridCol w:w="1380"/>
        <w:gridCol w:w="2490"/>
        <w:gridCol w:w="2415"/>
        <w:gridCol w:w="9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68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鄂尔多斯市首届哲学社会科学人才奖申报汇总表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代表性成果名称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工作单位或所属学会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688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4"/>
                <w:lang w:val="en-US" w:eastAsia="zh-CN" w:bidi="ar"/>
              </w:rPr>
              <w:t>参评类别指名家奖、青年才俊奖或特别贡献奖，工作年限指个人在鄂尔多斯市的工作时间，所属学科指主要从事的研究学科（一级学科），代表性成果名称填写一项个人最具代表性的成果，工作单位或所属学会填写申报单位全称。</w:t>
            </w:r>
          </w:p>
        </w:tc>
      </w:tr>
    </w:tbl>
    <w:p/>
    <w:sectPr>
      <w:pgSz w:w="16838" w:h="11906" w:orient="landscape"/>
      <w:pgMar w:top="1800" w:right="2154" w:bottom="180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5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云</cp:lastModifiedBy>
  <dcterms:modified xsi:type="dcterms:W3CDTF">2020-08-12T07:47:47Z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